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F4BB" w14:textId="77777777" w:rsidR="00E7732B" w:rsidRDefault="00DD4CAD">
      <w:pPr>
        <w:pStyle w:val="Heading1"/>
        <w:spacing w:before="79"/>
        <w:ind w:left="1639" w:right="1620"/>
        <w:jc w:val="center"/>
        <w:rPr>
          <w:u w:val="none"/>
        </w:rPr>
      </w:pPr>
      <w:r>
        <w:rPr>
          <w:u w:val="none"/>
        </w:rPr>
        <w:t>POST-TENURE REVIEW FOR JOHN SMITH, M.D.</w:t>
      </w:r>
    </w:p>
    <w:p w14:paraId="077A8D5E" w14:textId="77777777" w:rsidR="00E7732B" w:rsidRDefault="00E7732B">
      <w:pPr>
        <w:pStyle w:val="BodyText"/>
        <w:rPr>
          <w:b/>
          <w:sz w:val="26"/>
        </w:rPr>
      </w:pPr>
    </w:p>
    <w:p w14:paraId="038E040D" w14:textId="77777777" w:rsidR="00E7732B" w:rsidRDefault="00E7732B">
      <w:pPr>
        <w:pStyle w:val="BodyText"/>
        <w:spacing w:before="9"/>
        <w:rPr>
          <w:b/>
          <w:sz w:val="21"/>
        </w:rPr>
      </w:pPr>
    </w:p>
    <w:p w14:paraId="7A3E2356" w14:textId="251A32FB" w:rsidR="00E7732B" w:rsidRDefault="00DD4CAD">
      <w:pPr>
        <w:pStyle w:val="BodyText"/>
        <w:ind w:left="119" w:right="97" w:firstLine="720"/>
      </w:pPr>
      <w:r>
        <w:t xml:space="preserve">On </w:t>
      </w:r>
      <w:r w:rsidR="00924B45">
        <w:t>May 1, 2021,</w:t>
      </w:r>
      <w:r>
        <w:t xml:space="preserve"> we met to conduct the post-tenure review for John Smith, M.D., who is a tenured Professor of Neurology and Pharmacology. Dr. Smith submitted a dossier for review that included an updated curriculum vitae, </w:t>
      </w:r>
      <w:r w:rsidR="00924B45">
        <w:t xml:space="preserve">funding record, </w:t>
      </w:r>
      <w:r>
        <w:t>teaching evaluations</w:t>
      </w:r>
      <w:r w:rsidR="00924B45">
        <w:t xml:space="preserve">, a new 5-year professional plan, </w:t>
      </w:r>
      <w:r>
        <w:t xml:space="preserve">and </w:t>
      </w:r>
      <w:r w:rsidR="00924B45">
        <w:t xml:space="preserve">a </w:t>
      </w:r>
      <w:r>
        <w:t>summary of recent administrative and service activities.</w:t>
      </w:r>
    </w:p>
    <w:p w14:paraId="3CDE986C" w14:textId="77777777" w:rsidR="00E7732B" w:rsidRDefault="00E7732B">
      <w:pPr>
        <w:pStyle w:val="BodyText"/>
      </w:pPr>
    </w:p>
    <w:p w14:paraId="428A3C94" w14:textId="493714CD" w:rsidR="00E7732B" w:rsidRDefault="00DD4CAD">
      <w:pPr>
        <w:pStyle w:val="BodyText"/>
        <w:ind w:left="119" w:right="101" w:firstLine="720"/>
      </w:pPr>
      <w:r>
        <w:t xml:space="preserve">Dr. Smith’s last post-tenure review was completed in </w:t>
      </w:r>
      <w:proofErr w:type="gramStart"/>
      <w:r>
        <w:t>May,</w:t>
      </w:r>
      <w:proofErr w:type="gramEnd"/>
      <w:r>
        <w:t xml:space="preserve"> </w:t>
      </w:r>
      <w:r w:rsidR="00924B45">
        <w:t>2016</w:t>
      </w:r>
      <w:r>
        <w:t xml:space="preserve">. Since that time, Dr. Smith’s scholarly and research performance has been outstanding. He has been the author of an average of 4 peer-review publications each year, in outstanding journals such as </w:t>
      </w:r>
      <w:r>
        <w:rPr>
          <w:i/>
        </w:rPr>
        <w:t xml:space="preserve">Science </w:t>
      </w:r>
      <w:r>
        <w:t xml:space="preserve">and </w:t>
      </w:r>
      <w:r>
        <w:rPr>
          <w:i/>
        </w:rPr>
        <w:t>The Journal of Biological Chemistry</w:t>
      </w:r>
      <w:r>
        <w:t>. Of 26 papers published since 1999, he has been first- or senior-author on 17.  He has also published 15 editorials, monographs and book chapters during the past five years.</w:t>
      </w:r>
    </w:p>
    <w:p w14:paraId="4C42CF55" w14:textId="77777777" w:rsidR="00E7732B" w:rsidRDefault="00E7732B">
      <w:pPr>
        <w:pStyle w:val="BodyText"/>
      </w:pPr>
    </w:p>
    <w:p w14:paraId="3A18DA5A" w14:textId="77777777" w:rsidR="00E7732B" w:rsidRDefault="00DD4CAD">
      <w:pPr>
        <w:pStyle w:val="BodyText"/>
        <w:ind w:left="119" w:right="177" w:firstLine="720"/>
      </w:pPr>
      <w:r>
        <w:t xml:space="preserve">Dr. Smith is currently the principal investigator of a training grant in neurosciences research. He holds two R01 grants for the years 2000-2006. Dr. Smith continues to excel as an investigator; he is widely known for his innovative studies of weight loss during chemotherapy of malignant central nervous system tumors and his research that has helped define the structure of HMG proteins. He has achieved national </w:t>
      </w:r>
      <w:proofErr w:type="spellStart"/>
      <w:r>
        <w:t>renown</w:t>
      </w:r>
      <w:proofErr w:type="spellEnd"/>
      <w:r>
        <w:t xml:space="preserve"> for his basic and applied research and for his translational investigations that have enhanced our understanding of signal transduction and the development of novel therapeutic drugs for the treatment of degenerative neurologic diseases. He serves as senior editor of the </w:t>
      </w:r>
      <w:r>
        <w:rPr>
          <w:i/>
        </w:rPr>
        <w:t>Textbook of Molecular Neurology</w:t>
      </w:r>
      <w:r>
        <w:t xml:space="preserve">, and he serves on two NIH study sections and as an editorial board member of three journals, including the </w:t>
      </w:r>
      <w:r>
        <w:rPr>
          <w:i/>
        </w:rPr>
        <w:t xml:space="preserve">European Journal of Biochemistry </w:t>
      </w:r>
      <w:r>
        <w:t xml:space="preserve">and </w:t>
      </w:r>
      <w:r>
        <w:rPr>
          <w:i/>
        </w:rPr>
        <w:t xml:space="preserve">Nucleic Acid Research. </w:t>
      </w:r>
      <w:r>
        <w:t>As a collaborative scientist, he has played a pivotal role in helping the School of Medicine build its inter-departmental molecular structure program, and he serves as director of the core NMR and High- resolution X-ray crystallography core facilities. On a national scale, he has frequently been invited to serve as Visiting Professor and to present scientific talks and research presentations, averaging approximately 5-6 invited presentations each year.</w:t>
      </w:r>
    </w:p>
    <w:p w14:paraId="667D8CCE" w14:textId="77777777" w:rsidR="00E7732B" w:rsidRDefault="00E7732B">
      <w:pPr>
        <w:pStyle w:val="BodyText"/>
        <w:spacing w:before="11"/>
        <w:rPr>
          <w:sz w:val="23"/>
        </w:rPr>
      </w:pPr>
    </w:p>
    <w:p w14:paraId="798F9A11" w14:textId="77777777" w:rsidR="00E7732B" w:rsidRDefault="00DD4CAD">
      <w:pPr>
        <w:pStyle w:val="BodyText"/>
        <w:ind w:left="119" w:right="177" w:firstLine="720"/>
      </w:pPr>
      <w:r>
        <w:t xml:space="preserve">In teaching, Dr. Smith’s efforts have been more limited, because of his heavy research commitments and growing administrative responsibilities. He attends on the neurology service wards two months each year, and he has lecture responsibilities in three second-year medical student courses (PATH 4000 and MED 5000). The </w:t>
      </w:r>
      <w:r>
        <w:rPr>
          <w:spacing w:val="-3"/>
        </w:rPr>
        <w:t xml:space="preserve">committee </w:t>
      </w:r>
      <w:r>
        <w:t>reviewed twelve teaching evaluations submitted by medical students and residents over the past four years. His teaching performance was rated as good-to-excellent, based on these limited teaching evaluations. Dr. Smith has also served as research mentor to several graduate students, two of whom have received their doctoral degrees in the past four years.</w:t>
      </w:r>
    </w:p>
    <w:p w14:paraId="15167936" w14:textId="77777777" w:rsidR="00E7732B" w:rsidRDefault="00E7732B">
      <w:pPr>
        <w:pStyle w:val="BodyText"/>
      </w:pPr>
    </w:p>
    <w:p w14:paraId="1A34C9FC" w14:textId="77777777" w:rsidR="00E7732B" w:rsidRDefault="00DD4CAD">
      <w:pPr>
        <w:pStyle w:val="BodyText"/>
        <w:ind w:left="119" w:right="97" w:firstLine="720"/>
      </w:pPr>
      <w:r>
        <w:t>In administrative matters, Dr. Smith has assumed increasing responsibilities. He has served on four school-wide or campus wide committees, including the promotions committee. He is a member of the SOM Research Strategic Planning Committee and for two years he served as acting section chief of neuromuscular diseases. He now serves as</w:t>
      </w:r>
    </w:p>
    <w:p w14:paraId="76359951" w14:textId="77777777" w:rsidR="00E7732B" w:rsidRDefault="00E7732B">
      <w:pPr>
        <w:sectPr w:rsidR="00E7732B">
          <w:type w:val="continuous"/>
          <w:pgSz w:w="12240" w:h="15840"/>
          <w:pgMar w:top="1360" w:right="1700" w:bottom="280" w:left="1680" w:header="720" w:footer="720" w:gutter="0"/>
          <w:cols w:space="720"/>
        </w:sectPr>
      </w:pPr>
    </w:p>
    <w:p w14:paraId="0147B14A" w14:textId="62A0117B" w:rsidR="00E7732B" w:rsidRDefault="00DD4CAD">
      <w:pPr>
        <w:pStyle w:val="BodyText"/>
        <w:spacing w:before="76"/>
        <w:ind w:left="120" w:right="97"/>
      </w:pPr>
      <w:r>
        <w:lastRenderedPageBreak/>
        <w:t>Director of a DNA sequencing core. He participates on numerous national committees, including the American Society for Academic Neurology, where he served as co-chair</w:t>
      </w:r>
      <w:r>
        <w:rPr>
          <w:spacing w:val="-34"/>
        </w:rPr>
        <w:t xml:space="preserve"> </w:t>
      </w:r>
      <w:r>
        <w:t>of the research task force during</w:t>
      </w:r>
      <w:r>
        <w:rPr>
          <w:spacing w:val="-5"/>
        </w:rPr>
        <w:t xml:space="preserve"> </w:t>
      </w:r>
      <w:r>
        <w:t>20</w:t>
      </w:r>
      <w:r w:rsidR="00924B45">
        <w:t>1</w:t>
      </w:r>
      <w:r>
        <w:t>0-20</w:t>
      </w:r>
      <w:r w:rsidR="00924B45">
        <w:t>2</w:t>
      </w:r>
      <w:r>
        <w:t>1.</w:t>
      </w:r>
    </w:p>
    <w:p w14:paraId="366916E9" w14:textId="77777777" w:rsidR="00E7732B" w:rsidRDefault="00E7732B">
      <w:pPr>
        <w:pStyle w:val="BodyText"/>
      </w:pPr>
    </w:p>
    <w:p w14:paraId="78A0B6DE" w14:textId="69819825" w:rsidR="00E7732B" w:rsidRDefault="00DD4CAD">
      <w:pPr>
        <w:pStyle w:val="BodyText"/>
        <w:spacing w:before="1"/>
        <w:ind w:left="119" w:right="158" w:firstLine="720"/>
      </w:pPr>
      <w:r>
        <w:t xml:space="preserve">In summary, Dr. Smith has performed at an outstanding level since his 1999 post- tenure review. We would recommend only that he continue to allow time to teach, as his students and residents have always benefited from his experience and knowledge. </w:t>
      </w:r>
      <w:r w:rsidR="00924B45">
        <w:t xml:space="preserve"> </w:t>
      </w:r>
      <w:r>
        <w:t>The post-tenure review committee wishes him continued success in his academic</w:t>
      </w:r>
      <w:r>
        <w:rPr>
          <w:spacing w:val="-6"/>
        </w:rPr>
        <w:t xml:space="preserve"> </w:t>
      </w:r>
      <w:r>
        <w:t>career.</w:t>
      </w:r>
    </w:p>
    <w:p w14:paraId="4894603A" w14:textId="2BB6BB2E" w:rsidR="00E7732B" w:rsidRDefault="00E7732B">
      <w:pPr>
        <w:pStyle w:val="BodyText"/>
      </w:pPr>
    </w:p>
    <w:p w14:paraId="1C37913B" w14:textId="60331A41" w:rsidR="00924B45" w:rsidRDefault="00924B45" w:rsidP="00924B45">
      <w:pPr>
        <w:pStyle w:val="BodyText"/>
        <w:ind w:left="180"/>
        <w:rPr>
          <w:u w:val="single"/>
        </w:rPr>
      </w:pPr>
      <w:r>
        <w:rPr>
          <w:u w:val="single"/>
        </w:rPr>
        <w:t>Teaching Performance Rating</w:t>
      </w:r>
    </w:p>
    <w:p w14:paraId="3C030FF5" w14:textId="77777777" w:rsidR="00924B45" w:rsidRDefault="00924B45" w:rsidP="00924B45">
      <w:pPr>
        <w:pStyle w:val="ListParagraph"/>
        <w:numPr>
          <w:ilvl w:val="0"/>
          <w:numId w:val="1"/>
        </w:numPr>
        <w:tabs>
          <w:tab w:val="left" w:pos="870"/>
        </w:tabs>
        <w:spacing w:before="92"/>
        <w:rPr>
          <w:sz w:val="24"/>
        </w:rPr>
      </w:pPr>
      <w:r>
        <w:rPr>
          <w:sz w:val="24"/>
        </w:rPr>
        <w:t>Outstanding</w:t>
      </w:r>
    </w:p>
    <w:p w14:paraId="5C880F3B" w14:textId="77777777" w:rsidR="00924B45" w:rsidRDefault="00924B45" w:rsidP="00924B45">
      <w:pPr>
        <w:pStyle w:val="ListParagraph"/>
        <w:numPr>
          <w:ilvl w:val="0"/>
          <w:numId w:val="1"/>
        </w:numPr>
        <w:tabs>
          <w:tab w:val="left" w:pos="870"/>
        </w:tabs>
        <w:rPr>
          <w:sz w:val="24"/>
        </w:rPr>
      </w:pPr>
      <w:r>
        <w:rPr>
          <w:sz w:val="24"/>
        </w:rPr>
        <w:t>Exceeding</w:t>
      </w:r>
      <w:r>
        <w:rPr>
          <w:spacing w:val="-1"/>
          <w:sz w:val="24"/>
        </w:rPr>
        <w:t xml:space="preserve"> </w:t>
      </w:r>
      <w:r>
        <w:rPr>
          <w:sz w:val="24"/>
        </w:rPr>
        <w:t>Expectations</w:t>
      </w:r>
    </w:p>
    <w:p w14:paraId="6ABD337B" w14:textId="77777777" w:rsidR="00924B45" w:rsidRDefault="00924B45" w:rsidP="00924B45">
      <w:pPr>
        <w:pStyle w:val="ListParagraph"/>
        <w:numPr>
          <w:ilvl w:val="0"/>
          <w:numId w:val="1"/>
        </w:numPr>
        <w:tabs>
          <w:tab w:val="left" w:pos="870"/>
        </w:tabs>
        <w:rPr>
          <w:sz w:val="24"/>
        </w:rPr>
      </w:pPr>
      <w:r>
        <w:rPr>
          <w:sz w:val="24"/>
        </w:rPr>
        <w:t>Meeting Expectations</w:t>
      </w:r>
    </w:p>
    <w:p w14:paraId="776CE8D8" w14:textId="27350BAA" w:rsidR="00924B45" w:rsidRDefault="00924B45" w:rsidP="00924B45">
      <w:pPr>
        <w:pStyle w:val="ListParagraph"/>
        <w:numPr>
          <w:ilvl w:val="0"/>
          <w:numId w:val="1"/>
        </w:numPr>
        <w:tabs>
          <w:tab w:val="left" w:pos="870"/>
        </w:tabs>
        <w:rPr>
          <w:sz w:val="24"/>
        </w:rPr>
      </w:pPr>
      <w:r>
        <w:rPr>
          <w:sz w:val="24"/>
        </w:rPr>
        <w:t>Below Expectations</w:t>
      </w:r>
      <w:r w:rsidR="009E3B99">
        <w:rPr>
          <w:sz w:val="24"/>
        </w:rPr>
        <w:t>/Fails to Meet Expectations</w:t>
      </w:r>
    </w:p>
    <w:p w14:paraId="7B6B3A20" w14:textId="77777777" w:rsidR="00924B45" w:rsidRDefault="00924B45">
      <w:pPr>
        <w:pStyle w:val="BodyText"/>
        <w:rPr>
          <w:u w:val="single"/>
        </w:rPr>
      </w:pPr>
    </w:p>
    <w:p w14:paraId="282DADA4" w14:textId="77777777" w:rsidR="00924B45" w:rsidRDefault="00924B45">
      <w:pPr>
        <w:pStyle w:val="BodyText"/>
        <w:rPr>
          <w:u w:val="single"/>
        </w:rPr>
      </w:pPr>
    </w:p>
    <w:p w14:paraId="64FD8BD9" w14:textId="6FB9C923" w:rsidR="00924B45" w:rsidRDefault="00924B45" w:rsidP="00924B45">
      <w:pPr>
        <w:pStyle w:val="BodyText"/>
        <w:ind w:left="180"/>
        <w:rPr>
          <w:u w:val="single"/>
        </w:rPr>
      </w:pPr>
      <w:r>
        <w:rPr>
          <w:u w:val="single"/>
        </w:rPr>
        <w:t>Scholarly/Creative Work Performance Rating</w:t>
      </w:r>
    </w:p>
    <w:p w14:paraId="3E30BE40" w14:textId="77777777" w:rsidR="009E3B99" w:rsidRDefault="009E3B99" w:rsidP="009E3B99">
      <w:pPr>
        <w:pStyle w:val="ListParagraph"/>
        <w:numPr>
          <w:ilvl w:val="0"/>
          <w:numId w:val="1"/>
        </w:numPr>
        <w:tabs>
          <w:tab w:val="left" w:pos="870"/>
        </w:tabs>
        <w:spacing w:before="92"/>
        <w:rPr>
          <w:sz w:val="24"/>
        </w:rPr>
      </w:pPr>
      <w:r>
        <w:rPr>
          <w:sz w:val="24"/>
        </w:rPr>
        <w:t>Outstanding</w:t>
      </w:r>
    </w:p>
    <w:p w14:paraId="6EFF6255" w14:textId="77777777" w:rsidR="009E3B99" w:rsidRDefault="009E3B99" w:rsidP="009E3B99">
      <w:pPr>
        <w:pStyle w:val="ListParagraph"/>
        <w:numPr>
          <w:ilvl w:val="0"/>
          <w:numId w:val="1"/>
        </w:numPr>
        <w:tabs>
          <w:tab w:val="left" w:pos="870"/>
        </w:tabs>
        <w:rPr>
          <w:sz w:val="24"/>
        </w:rPr>
      </w:pPr>
      <w:r>
        <w:rPr>
          <w:sz w:val="24"/>
        </w:rPr>
        <w:t>Exceeding</w:t>
      </w:r>
      <w:r>
        <w:rPr>
          <w:spacing w:val="-1"/>
          <w:sz w:val="24"/>
        </w:rPr>
        <w:t xml:space="preserve"> </w:t>
      </w:r>
      <w:r>
        <w:rPr>
          <w:sz w:val="24"/>
        </w:rPr>
        <w:t>Expectations</w:t>
      </w:r>
    </w:p>
    <w:p w14:paraId="566C42D9" w14:textId="77777777" w:rsidR="009E3B99" w:rsidRDefault="009E3B99" w:rsidP="009E3B99">
      <w:pPr>
        <w:pStyle w:val="ListParagraph"/>
        <w:numPr>
          <w:ilvl w:val="0"/>
          <w:numId w:val="1"/>
        </w:numPr>
        <w:tabs>
          <w:tab w:val="left" w:pos="870"/>
        </w:tabs>
        <w:rPr>
          <w:sz w:val="24"/>
        </w:rPr>
      </w:pPr>
      <w:r>
        <w:rPr>
          <w:sz w:val="24"/>
        </w:rPr>
        <w:t>Meeting Expectations</w:t>
      </w:r>
    </w:p>
    <w:p w14:paraId="124D754C" w14:textId="77777777" w:rsidR="009E3B99" w:rsidRDefault="009E3B99" w:rsidP="009E3B99">
      <w:pPr>
        <w:pStyle w:val="ListParagraph"/>
        <w:numPr>
          <w:ilvl w:val="0"/>
          <w:numId w:val="1"/>
        </w:numPr>
        <w:tabs>
          <w:tab w:val="left" w:pos="870"/>
        </w:tabs>
        <w:rPr>
          <w:sz w:val="24"/>
        </w:rPr>
      </w:pPr>
      <w:r>
        <w:rPr>
          <w:sz w:val="24"/>
        </w:rPr>
        <w:t>Below Expectations/Fails to Meet Expectations</w:t>
      </w:r>
    </w:p>
    <w:p w14:paraId="606C2A27" w14:textId="77777777" w:rsidR="009E3B99" w:rsidRDefault="009E3B99">
      <w:pPr>
        <w:pStyle w:val="BodyText"/>
        <w:ind w:left="180"/>
        <w:rPr>
          <w:u w:val="single"/>
        </w:rPr>
      </w:pPr>
    </w:p>
    <w:p w14:paraId="40999EC1" w14:textId="77777777" w:rsidR="009E3B99" w:rsidRDefault="009E3B99">
      <w:pPr>
        <w:pStyle w:val="BodyText"/>
        <w:ind w:left="180"/>
        <w:rPr>
          <w:u w:val="single"/>
        </w:rPr>
      </w:pPr>
    </w:p>
    <w:p w14:paraId="3A78FEBB" w14:textId="2E32DC6C" w:rsidR="00924B45" w:rsidRDefault="00924B45" w:rsidP="00924B45">
      <w:pPr>
        <w:pStyle w:val="BodyText"/>
        <w:ind w:left="180"/>
        <w:rPr>
          <w:u w:val="single"/>
        </w:rPr>
      </w:pPr>
      <w:r>
        <w:rPr>
          <w:u w:val="single"/>
        </w:rPr>
        <w:t>Leadership and Service Performance Rating</w:t>
      </w:r>
    </w:p>
    <w:p w14:paraId="309A046B" w14:textId="77777777" w:rsidR="009E3B99" w:rsidRDefault="009E3B99" w:rsidP="009E3B99">
      <w:pPr>
        <w:pStyle w:val="ListParagraph"/>
        <w:numPr>
          <w:ilvl w:val="0"/>
          <w:numId w:val="1"/>
        </w:numPr>
        <w:tabs>
          <w:tab w:val="left" w:pos="870"/>
        </w:tabs>
        <w:spacing w:before="92"/>
        <w:rPr>
          <w:sz w:val="24"/>
        </w:rPr>
      </w:pPr>
      <w:r>
        <w:rPr>
          <w:sz w:val="24"/>
        </w:rPr>
        <w:t>Outstanding</w:t>
      </w:r>
    </w:p>
    <w:p w14:paraId="1FA84614" w14:textId="77777777" w:rsidR="009E3B99" w:rsidRDefault="009E3B99" w:rsidP="009E3B99">
      <w:pPr>
        <w:pStyle w:val="ListParagraph"/>
        <w:numPr>
          <w:ilvl w:val="0"/>
          <w:numId w:val="1"/>
        </w:numPr>
        <w:tabs>
          <w:tab w:val="left" w:pos="870"/>
        </w:tabs>
        <w:rPr>
          <w:sz w:val="24"/>
        </w:rPr>
      </w:pPr>
      <w:r>
        <w:rPr>
          <w:sz w:val="24"/>
        </w:rPr>
        <w:t>Exceeding</w:t>
      </w:r>
      <w:r>
        <w:rPr>
          <w:spacing w:val="-1"/>
          <w:sz w:val="24"/>
        </w:rPr>
        <w:t xml:space="preserve"> </w:t>
      </w:r>
      <w:r>
        <w:rPr>
          <w:sz w:val="24"/>
        </w:rPr>
        <w:t>Expectations</w:t>
      </w:r>
    </w:p>
    <w:p w14:paraId="15953281" w14:textId="77777777" w:rsidR="009E3B99" w:rsidRDefault="009E3B99" w:rsidP="009E3B99">
      <w:pPr>
        <w:pStyle w:val="ListParagraph"/>
        <w:numPr>
          <w:ilvl w:val="0"/>
          <w:numId w:val="1"/>
        </w:numPr>
        <w:tabs>
          <w:tab w:val="left" w:pos="870"/>
        </w:tabs>
        <w:rPr>
          <w:sz w:val="24"/>
        </w:rPr>
      </w:pPr>
      <w:r>
        <w:rPr>
          <w:sz w:val="24"/>
        </w:rPr>
        <w:t>Meeting Expectations</w:t>
      </w:r>
    </w:p>
    <w:p w14:paraId="17BF2C0C" w14:textId="77777777" w:rsidR="009E3B99" w:rsidRDefault="009E3B99" w:rsidP="009E3B99">
      <w:pPr>
        <w:pStyle w:val="ListParagraph"/>
        <w:numPr>
          <w:ilvl w:val="0"/>
          <w:numId w:val="1"/>
        </w:numPr>
        <w:tabs>
          <w:tab w:val="left" w:pos="870"/>
        </w:tabs>
        <w:rPr>
          <w:sz w:val="24"/>
        </w:rPr>
      </w:pPr>
      <w:r>
        <w:rPr>
          <w:sz w:val="24"/>
        </w:rPr>
        <w:t>Below Expectations/Fails to Meet Expectations</w:t>
      </w:r>
    </w:p>
    <w:p w14:paraId="35EB8F5E" w14:textId="77777777" w:rsidR="009E3B99" w:rsidRDefault="009E3B99">
      <w:pPr>
        <w:pStyle w:val="BodyText"/>
        <w:ind w:left="119"/>
        <w:rPr>
          <w:u w:val="single"/>
        </w:rPr>
      </w:pPr>
    </w:p>
    <w:p w14:paraId="1C099025" w14:textId="77777777" w:rsidR="009E3B99" w:rsidRDefault="009E3B99">
      <w:pPr>
        <w:pStyle w:val="BodyText"/>
        <w:ind w:left="119"/>
        <w:rPr>
          <w:u w:val="single"/>
        </w:rPr>
      </w:pPr>
    </w:p>
    <w:p w14:paraId="7F3C7B64" w14:textId="07CD7556" w:rsidR="00E7732B" w:rsidRPr="004D0C42" w:rsidRDefault="00DD4CAD">
      <w:pPr>
        <w:pStyle w:val="BodyText"/>
        <w:ind w:left="119"/>
        <w:rPr>
          <w:b/>
          <w:i/>
        </w:rPr>
      </w:pPr>
      <w:r w:rsidRPr="004D0C42">
        <w:rPr>
          <w:b/>
          <w:i/>
          <w:u w:val="single"/>
        </w:rPr>
        <w:t xml:space="preserve">Overall </w:t>
      </w:r>
      <w:r w:rsidR="00236651" w:rsidRPr="004D0C42">
        <w:rPr>
          <w:b/>
          <w:i/>
          <w:u w:val="single"/>
        </w:rPr>
        <w:t xml:space="preserve">Summary </w:t>
      </w:r>
      <w:r w:rsidRPr="004D0C42">
        <w:rPr>
          <w:b/>
          <w:i/>
          <w:u w:val="single"/>
        </w:rPr>
        <w:t>Rating</w:t>
      </w:r>
      <w:r w:rsidR="00236651" w:rsidRPr="004D0C42">
        <w:rPr>
          <w:b/>
          <w:i/>
          <w:u w:val="single"/>
        </w:rPr>
        <w:t xml:space="preserve"> of Faculty Member’s Accomplishments</w:t>
      </w:r>
    </w:p>
    <w:p w14:paraId="4E56A1DD" w14:textId="77777777" w:rsidR="00E7732B" w:rsidRDefault="00E7732B">
      <w:pPr>
        <w:pStyle w:val="BodyText"/>
        <w:rPr>
          <w:sz w:val="16"/>
        </w:rPr>
      </w:pPr>
    </w:p>
    <w:p w14:paraId="523B7939" w14:textId="77777777" w:rsidR="009E3B99" w:rsidRDefault="009E3B99" w:rsidP="009E3B99">
      <w:pPr>
        <w:pStyle w:val="ListParagraph"/>
        <w:numPr>
          <w:ilvl w:val="0"/>
          <w:numId w:val="1"/>
        </w:numPr>
        <w:tabs>
          <w:tab w:val="left" w:pos="870"/>
        </w:tabs>
        <w:spacing w:before="92"/>
        <w:rPr>
          <w:sz w:val="24"/>
        </w:rPr>
      </w:pPr>
      <w:r>
        <w:rPr>
          <w:sz w:val="24"/>
        </w:rPr>
        <w:t>Outstanding</w:t>
      </w:r>
    </w:p>
    <w:p w14:paraId="4EA65101" w14:textId="77777777" w:rsidR="009E3B99" w:rsidRDefault="009E3B99" w:rsidP="009E3B99">
      <w:pPr>
        <w:pStyle w:val="ListParagraph"/>
        <w:numPr>
          <w:ilvl w:val="0"/>
          <w:numId w:val="1"/>
        </w:numPr>
        <w:tabs>
          <w:tab w:val="left" w:pos="870"/>
        </w:tabs>
        <w:rPr>
          <w:sz w:val="24"/>
        </w:rPr>
      </w:pPr>
      <w:r>
        <w:rPr>
          <w:sz w:val="24"/>
        </w:rPr>
        <w:t>Exceeding</w:t>
      </w:r>
      <w:r>
        <w:rPr>
          <w:spacing w:val="-1"/>
          <w:sz w:val="24"/>
        </w:rPr>
        <w:t xml:space="preserve"> </w:t>
      </w:r>
      <w:r>
        <w:rPr>
          <w:sz w:val="24"/>
        </w:rPr>
        <w:t>Expectations</w:t>
      </w:r>
    </w:p>
    <w:p w14:paraId="5D7E7046" w14:textId="77777777" w:rsidR="009E3B99" w:rsidRDefault="009E3B99" w:rsidP="009E3B99">
      <w:pPr>
        <w:pStyle w:val="ListParagraph"/>
        <w:numPr>
          <w:ilvl w:val="0"/>
          <w:numId w:val="1"/>
        </w:numPr>
        <w:tabs>
          <w:tab w:val="left" w:pos="870"/>
        </w:tabs>
        <w:rPr>
          <w:sz w:val="24"/>
        </w:rPr>
      </w:pPr>
      <w:r>
        <w:rPr>
          <w:sz w:val="24"/>
        </w:rPr>
        <w:t>Meeting Expectations</w:t>
      </w:r>
    </w:p>
    <w:p w14:paraId="56A61042" w14:textId="77777777" w:rsidR="009E3B99" w:rsidRDefault="009E3B99" w:rsidP="009E3B99">
      <w:pPr>
        <w:pStyle w:val="ListParagraph"/>
        <w:numPr>
          <w:ilvl w:val="0"/>
          <w:numId w:val="1"/>
        </w:numPr>
        <w:tabs>
          <w:tab w:val="left" w:pos="870"/>
        </w:tabs>
        <w:rPr>
          <w:sz w:val="24"/>
        </w:rPr>
      </w:pPr>
      <w:r>
        <w:rPr>
          <w:sz w:val="24"/>
        </w:rPr>
        <w:t>Below Expectations/Fails to Meet Expectations</w:t>
      </w:r>
    </w:p>
    <w:p w14:paraId="4D409AD2" w14:textId="77777777" w:rsidR="00E7732B" w:rsidRDefault="00E7732B">
      <w:pPr>
        <w:pStyle w:val="BodyText"/>
        <w:spacing w:before="2"/>
        <w:rPr>
          <w:sz w:val="22"/>
        </w:rPr>
      </w:pPr>
    </w:p>
    <w:p w14:paraId="680F3466" w14:textId="485FE08E" w:rsidR="009E3B99" w:rsidRDefault="00DD4CAD" w:rsidP="009E3B99">
      <w:pPr>
        <w:pStyle w:val="Heading1"/>
        <w:rPr>
          <w:u w:val="thick"/>
        </w:rPr>
      </w:pPr>
      <w:r>
        <w:rPr>
          <w:u w:val="thick"/>
        </w:rPr>
        <w:t>Members of the Post-tenure Review Committee</w:t>
      </w:r>
    </w:p>
    <w:p w14:paraId="21368AF1" w14:textId="447D13D8" w:rsidR="009E3B99" w:rsidRDefault="009E3B99" w:rsidP="009E3B99">
      <w:pPr>
        <w:pStyle w:val="Heading1"/>
        <w:rPr>
          <w:u w:val="thick"/>
        </w:rPr>
      </w:pPr>
    </w:p>
    <w:p w14:paraId="11D1AB8D" w14:textId="33AF042F" w:rsidR="009E3B99" w:rsidRDefault="009E3B99" w:rsidP="009E3B99">
      <w:pPr>
        <w:pStyle w:val="Heading1"/>
        <w:rPr>
          <w:u w:val="thick"/>
        </w:rPr>
      </w:pPr>
    </w:p>
    <w:p w14:paraId="2A2D0B5D" w14:textId="77777777" w:rsidR="009E3B99" w:rsidRDefault="009E3B99" w:rsidP="009E3B99">
      <w:pPr>
        <w:pStyle w:val="BodyText"/>
        <w:ind w:left="120"/>
      </w:pPr>
      <w:r>
        <w:t>Mary Jones, Ph.D., Professor of Pediatrics</w:t>
      </w:r>
      <w:r>
        <w:tab/>
      </w:r>
      <w:r>
        <w:tab/>
      </w:r>
      <w:r>
        <w:tab/>
        <w:t>Date</w:t>
      </w:r>
    </w:p>
    <w:p w14:paraId="1D19C2B5" w14:textId="77777777" w:rsidR="009E3B99" w:rsidRDefault="009E3B99" w:rsidP="009E3B99">
      <w:pPr>
        <w:pStyle w:val="BodyText"/>
        <w:rPr>
          <w:sz w:val="20"/>
        </w:rPr>
      </w:pPr>
    </w:p>
    <w:p w14:paraId="004F5E05" w14:textId="77777777" w:rsidR="009E3B99" w:rsidRDefault="009E3B99" w:rsidP="009E3B99">
      <w:pPr>
        <w:pStyle w:val="BodyText"/>
        <w:spacing w:before="7"/>
        <w:rPr>
          <w:sz w:val="27"/>
        </w:rPr>
      </w:pPr>
    </w:p>
    <w:p w14:paraId="7FD68522" w14:textId="77777777" w:rsidR="009E3B99" w:rsidRDefault="009E3B99" w:rsidP="009E3B99">
      <w:pPr>
        <w:pStyle w:val="BodyText"/>
        <w:tabs>
          <w:tab w:val="left" w:pos="5760"/>
          <w:tab w:val="left" w:pos="7894"/>
        </w:tabs>
        <w:spacing w:line="247" w:lineRule="exact"/>
        <w:ind w:left="120"/>
      </w:pPr>
      <w:r>
        <w:t>David White, M.D., Professor</w:t>
      </w:r>
      <w:r>
        <w:rPr>
          <w:spacing w:val="-3"/>
        </w:rPr>
        <w:t xml:space="preserve"> </w:t>
      </w:r>
      <w:r>
        <w:t>of</w:t>
      </w:r>
      <w:r>
        <w:rPr>
          <w:spacing w:val="-1"/>
        </w:rPr>
        <w:t xml:space="preserve"> </w:t>
      </w:r>
      <w:r>
        <w:t>Dermatology</w:t>
      </w:r>
      <w:r>
        <w:tab/>
        <w:t>Date</w:t>
      </w:r>
    </w:p>
    <w:p w14:paraId="63BE66B5" w14:textId="77777777" w:rsidR="009E3B99" w:rsidRDefault="009E3B99" w:rsidP="009E3B99">
      <w:pPr>
        <w:pStyle w:val="BodyText"/>
        <w:tabs>
          <w:tab w:val="left" w:pos="5760"/>
          <w:tab w:val="left" w:pos="7894"/>
        </w:tabs>
        <w:spacing w:line="247" w:lineRule="exact"/>
        <w:ind w:left="120"/>
      </w:pPr>
    </w:p>
    <w:p w14:paraId="1A7711A3" w14:textId="77777777" w:rsidR="009E3B99" w:rsidRDefault="009E3B99" w:rsidP="009E3B99">
      <w:pPr>
        <w:pStyle w:val="BodyText"/>
        <w:tabs>
          <w:tab w:val="left" w:pos="5760"/>
          <w:tab w:val="left" w:pos="7894"/>
        </w:tabs>
        <w:spacing w:line="247" w:lineRule="exact"/>
        <w:ind w:left="120"/>
      </w:pPr>
    </w:p>
    <w:p w14:paraId="64EC528F" w14:textId="77777777" w:rsidR="009E3B99" w:rsidRDefault="009E3B99" w:rsidP="009E3B99">
      <w:pPr>
        <w:pStyle w:val="BodyText"/>
        <w:spacing w:before="8"/>
      </w:pPr>
      <w:r>
        <w:t xml:space="preserve">  Alice A. Knight, M.D., Professor</w:t>
      </w:r>
      <w:r>
        <w:rPr>
          <w:spacing w:val="-5"/>
        </w:rPr>
        <w:t xml:space="preserve"> </w:t>
      </w:r>
      <w:r>
        <w:t>of Microbiology</w:t>
      </w:r>
      <w:r>
        <w:tab/>
      </w:r>
      <w:r>
        <w:tab/>
        <w:t>Date</w:t>
      </w:r>
    </w:p>
    <w:p w14:paraId="5C404F3F" w14:textId="77777777" w:rsidR="009E3B99" w:rsidRDefault="009E3B99" w:rsidP="009E3B99">
      <w:pPr>
        <w:pStyle w:val="Heading1"/>
        <w:rPr>
          <w:u w:val="thick"/>
        </w:rPr>
      </w:pPr>
    </w:p>
    <w:p w14:paraId="5CEC5829" w14:textId="77777777" w:rsidR="009E3B99" w:rsidRDefault="009E3B99" w:rsidP="009E3B99">
      <w:pPr>
        <w:pStyle w:val="Heading1"/>
        <w:rPr>
          <w:u w:val="thick"/>
        </w:rPr>
      </w:pPr>
    </w:p>
    <w:sectPr w:rsidR="009E3B99">
      <w:pgSz w:w="12240" w:h="15840"/>
      <w:pgMar w:top="136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5EF"/>
    <w:multiLevelType w:val="hybridMultilevel"/>
    <w:tmpl w:val="4E9E61D4"/>
    <w:lvl w:ilvl="0" w:tplc="78D2AB9C">
      <w:numFmt w:val="bullet"/>
      <w:lvlText w:val=""/>
      <w:lvlJc w:val="left"/>
      <w:pPr>
        <w:ind w:left="870" w:hanging="390"/>
      </w:pPr>
      <w:rPr>
        <w:rFonts w:ascii="Wingdings" w:eastAsia="Wingdings" w:hAnsi="Wingdings" w:cs="Wingdings" w:hint="default"/>
        <w:w w:val="100"/>
        <w:sz w:val="24"/>
        <w:szCs w:val="24"/>
      </w:rPr>
    </w:lvl>
    <w:lvl w:ilvl="1" w:tplc="03D8C748">
      <w:numFmt w:val="bullet"/>
      <w:lvlText w:val="•"/>
      <w:lvlJc w:val="left"/>
      <w:pPr>
        <w:ind w:left="1678" w:hanging="390"/>
      </w:pPr>
      <w:rPr>
        <w:rFonts w:hint="default"/>
      </w:rPr>
    </w:lvl>
    <w:lvl w:ilvl="2" w:tplc="AAA06DE6">
      <w:numFmt w:val="bullet"/>
      <w:lvlText w:val="•"/>
      <w:lvlJc w:val="left"/>
      <w:pPr>
        <w:ind w:left="2476" w:hanging="390"/>
      </w:pPr>
      <w:rPr>
        <w:rFonts w:hint="default"/>
      </w:rPr>
    </w:lvl>
    <w:lvl w:ilvl="3" w:tplc="7272EECE">
      <w:numFmt w:val="bullet"/>
      <w:lvlText w:val="•"/>
      <w:lvlJc w:val="left"/>
      <w:pPr>
        <w:ind w:left="3274" w:hanging="390"/>
      </w:pPr>
      <w:rPr>
        <w:rFonts w:hint="default"/>
      </w:rPr>
    </w:lvl>
    <w:lvl w:ilvl="4" w:tplc="1A6ADA20">
      <w:numFmt w:val="bullet"/>
      <w:lvlText w:val="•"/>
      <w:lvlJc w:val="left"/>
      <w:pPr>
        <w:ind w:left="4072" w:hanging="390"/>
      </w:pPr>
      <w:rPr>
        <w:rFonts w:hint="default"/>
      </w:rPr>
    </w:lvl>
    <w:lvl w:ilvl="5" w:tplc="A0B00154">
      <w:numFmt w:val="bullet"/>
      <w:lvlText w:val="•"/>
      <w:lvlJc w:val="left"/>
      <w:pPr>
        <w:ind w:left="4870" w:hanging="390"/>
      </w:pPr>
      <w:rPr>
        <w:rFonts w:hint="default"/>
      </w:rPr>
    </w:lvl>
    <w:lvl w:ilvl="6" w:tplc="306032B4">
      <w:numFmt w:val="bullet"/>
      <w:lvlText w:val="•"/>
      <w:lvlJc w:val="left"/>
      <w:pPr>
        <w:ind w:left="5668" w:hanging="390"/>
      </w:pPr>
      <w:rPr>
        <w:rFonts w:hint="default"/>
      </w:rPr>
    </w:lvl>
    <w:lvl w:ilvl="7" w:tplc="97E0EC62">
      <w:numFmt w:val="bullet"/>
      <w:lvlText w:val="•"/>
      <w:lvlJc w:val="left"/>
      <w:pPr>
        <w:ind w:left="6466" w:hanging="390"/>
      </w:pPr>
      <w:rPr>
        <w:rFonts w:hint="default"/>
      </w:rPr>
    </w:lvl>
    <w:lvl w:ilvl="8" w:tplc="F368A650">
      <w:numFmt w:val="bullet"/>
      <w:lvlText w:val="•"/>
      <w:lvlJc w:val="left"/>
      <w:pPr>
        <w:ind w:left="7264" w:hanging="390"/>
      </w:pPr>
      <w:rPr>
        <w:rFonts w:hint="default"/>
      </w:rPr>
    </w:lvl>
  </w:abstractNum>
  <w:num w:numId="1" w16cid:durableId="115025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2B"/>
    <w:rsid w:val="001921FB"/>
    <w:rsid w:val="00236651"/>
    <w:rsid w:val="004D0C42"/>
    <w:rsid w:val="00914A6A"/>
    <w:rsid w:val="00924B45"/>
    <w:rsid w:val="009E3B99"/>
    <w:rsid w:val="00C619CB"/>
    <w:rsid w:val="00D5575F"/>
    <w:rsid w:val="00DD4CAD"/>
    <w:rsid w:val="00E7732B"/>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C32F"/>
  <w15:docId w15:val="{D00A470E-55DF-4568-B144-478CCB63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0" w:hanging="39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PTRTemplate2009.doc</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PTRTemplate2009.doc</dc:title>
  <dc:creator>welchc</dc:creator>
  <cp:lastModifiedBy>Twichell, Tonia</cp:lastModifiedBy>
  <cp:revision>2</cp:revision>
  <dcterms:created xsi:type="dcterms:W3CDTF">2023-03-13T17:27:00Z</dcterms:created>
  <dcterms:modified xsi:type="dcterms:W3CDTF">2023-03-13T17:27:00Z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2010-03-30T00:00:00Z</vt:filetime>
  </property>
  <property fmtid="{D5CDD505-2E9C-101B-9397-08002B2CF9AE}" pid="3" name="Creator">
    <vt:lpwstr>PScript5.dll Version 5.2.2</vt:lpwstr>
  </property>
  <property fmtid="{D5CDD505-2E9C-101B-9397-08002B2CF9AE}" pid="4" name="LastSaved">
    <vt:filetime>2021-02-21T00:00:00Z</vt:filetime>
  </property>
</Properties>
</file>